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8C" w:rsidRDefault="005C428C" w:rsidP="005C42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D1D1B"/>
          <w:sz w:val="42"/>
          <w:szCs w:val="42"/>
        </w:rPr>
      </w:pPr>
      <w:r>
        <w:rPr>
          <w:rFonts w:ascii="Georgia" w:hAnsi="Georgia" w:cs="Georgia"/>
          <w:color w:val="1D1D1B"/>
          <w:sz w:val="42"/>
          <w:szCs w:val="42"/>
        </w:rPr>
        <w:t>CONDITIONS DE VENTE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D1D1B"/>
          <w:sz w:val="42"/>
          <w:szCs w:val="42"/>
        </w:rPr>
      </w:pPr>
    </w:p>
    <w:p w:rsidR="005C428C" w:rsidRP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b/>
          <w:color w:val="3D3C3B"/>
          <w:sz w:val="20"/>
          <w:szCs w:val="20"/>
        </w:rPr>
      </w:pPr>
      <w:r w:rsidRPr="005C428C">
        <w:rPr>
          <w:rFonts w:ascii="Lato-Black" w:hAnsi="Lato-Black" w:cs="Lato-Black"/>
          <w:b/>
          <w:color w:val="3D3C3B"/>
          <w:sz w:val="20"/>
          <w:szCs w:val="20"/>
        </w:rPr>
        <w:t>CONDITIONS GENERALES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3D3C3B"/>
          <w:sz w:val="20"/>
          <w:szCs w:val="20"/>
        </w:rPr>
      </w:pP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La vente est faite expressément au comptant.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Les objets sont vendus en l’état, une exposition préalable permettant aux acquéreurs de se rendre compte de l’é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tat des </w:t>
      </w:r>
      <w:r>
        <w:rPr>
          <w:rFonts w:ascii="Lato-Regular" w:hAnsi="Lato-Regular" w:cs="Lato-Regular"/>
          <w:color w:val="3D3C3B"/>
          <w:sz w:val="20"/>
          <w:szCs w:val="20"/>
        </w:rPr>
        <w:t>objets mis en vente, il ne sera admis aucune réclamation une fois l’adjudication prononcée.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Les indications portées au catalogue engagent la responsabilité de la Société de Vente,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 compte tenu des rectifications </w:t>
      </w:r>
      <w:r>
        <w:rPr>
          <w:rFonts w:ascii="Lato-Regular" w:hAnsi="Lato-Regular" w:cs="Lato-Regular"/>
          <w:color w:val="3D3C3B"/>
          <w:sz w:val="20"/>
          <w:szCs w:val="20"/>
        </w:rPr>
        <w:t>annoncées au moment de la présentation de l’objet et portées au procès-verbal de la vente.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 xml:space="preserve">Les dimensions, les poids et les estimations ne sont donnés qu’à titre indicatif. Le </w:t>
      </w:r>
      <w:proofErr w:type="spellStart"/>
      <w:r>
        <w:rPr>
          <w:rFonts w:ascii="Lato-Regular" w:hAnsi="Lato-Regular" w:cs="Lato-Regular"/>
          <w:color w:val="3D3C3B"/>
          <w:sz w:val="20"/>
          <w:szCs w:val="20"/>
        </w:rPr>
        <w:t>réen</w:t>
      </w:r>
      <w:r>
        <w:rPr>
          <w:rFonts w:ascii="Lato-Regular" w:hAnsi="Lato-Regular" w:cs="Lato-Regular"/>
          <w:color w:val="3D3C3B"/>
          <w:sz w:val="20"/>
          <w:szCs w:val="20"/>
        </w:rPr>
        <w:t>toilage</w:t>
      </w:r>
      <w:proofErr w:type="spellEnd"/>
      <w:r>
        <w:rPr>
          <w:rFonts w:ascii="Lato-Regular" w:hAnsi="Lato-Regular" w:cs="Lato-Regular"/>
          <w:color w:val="3D3C3B"/>
          <w:sz w:val="20"/>
          <w:szCs w:val="20"/>
        </w:rPr>
        <w:t xml:space="preserve">, parquetage ou doublage </w:t>
      </w:r>
      <w:r>
        <w:rPr>
          <w:rFonts w:ascii="Lato-Regular" w:hAnsi="Lato-Regular" w:cs="Lato-Regular"/>
          <w:color w:val="3D3C3B"/>
          <w:sz w:val="20"/>
          <w:szCs w:val="20"/>
        </w:rPr>
        <w:t>sont considérés comme une mesure conservatoire et non comme un vice.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 xml:space="preserve">En cas de contestation, au moment de l’adjudication, c’est-à-dire s’il y a </w:t>
      </w:r>
      <w:proofErr w:type="spellStart"/>
      <w:r>
        <w:rPr>
          <w:rFonts w:ascii="Lato-Regular" w:hAnsi="Lato-Regular" w:cs="Lato-Regular"/>
          <w:color w:val="3D3C3B"/>
          <w:sz w:val="20"/>
          <w:szCs w:val="20"/>
        </w:rPr>
        <w:t>double</w:t>
      </w:r>
      <w:proofErr w:type="spellEnd"/>
      <w:r>
        <w:rPr>
          <w:rFonts w:ascii="Lato-Regular" w:hAnsi="Lato-Regular" w:cs="Lato-Regular"/>
          <w:color w:val="3D3C3B"/>
          <w:sz w:val="20"/>
          <w:szCs w:val="20"/>
        </w:rPr>
        <w:t xml:space="preserve"> enchère, le lot sera immé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diatement remis </w:t>
      </w:r>
      <w:r>
        <w:rPr>
          <w:rFonts w:ascii="Lato-Regular" w:hAnsi="Lato-Regular" w:cs="Lato-Regular"/>
          <w:color w:val="3D3C3B"/>
          <w:sz w:val="20"/>
          <w:szCs w:val="20"/>
        </w:rPr>
        <w:t>en vente au prix proposé par les enchérisseurs et tout le public sera admis à enchérir de nouveau.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3D3C3B"/>
          <w:sz w:val="20"/>
          <w:szCs w:val="20"/>
        </w:rPr>
      </w:pPr>
      <w:r>
        <w:rPr>
          <w:rFonts w:ascii="Lato-Black" w:hAnsi="Lato-Black" w:cs="Lato-Black"/>
          <w:color w:val="3D3C3B"/>
          <w:sz w:val="20"/>
          <w:szCs w:val="20"/>
        </w:rPr>
        <w:t>FRAIS DE VENTE ET PAIEMENT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L’adjudicataire devra acquitter, en sus du montant de l’enchère, par lot, les frais et taxes suivants :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- 20 % TTC (16.66 % HT + TVA 20%)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Le paiement devra être effectué immédiatement après la vente :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- En espèces (euros) jusqu’à 1 000 € pour les ressortissants français ou jusqu’à 15 000 €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 pour les </w:t>
      </w:r>
      <w:r>
        <w:rPr>
          <w:rFonts w:ascii="Lato-Regular" w:hAnsi="Lato-Regular" w:cs="Lato-Regular"/>
          <w:color w:val="3D3C3B"/>
          <w:sz w:val="20"/>
          <w:szCs w:val="20"/>
        </w:rPr>
        <w:t>ressortissants étrangers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- Par chèque bancaire (en euros) à l’ordre de CAEN ENCHERES, avec présentation obligatoire d’une piè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ce </w:t>
      </w:r>
      <w:r>
        <w:rPr>
          <w:rFonts w:ascii="Lato-Regular" w:hAnsi="Lato-Regular" w:cs="Lato-Regular"/>
          <w:color w:val="3D3C3B"/>
          <w:sz w:val="20"/>
          <w:szCs w:val="20"/>
        </w:rPr>
        <w:t>d’identité en cours de validité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- Par carte bancaire (Visa, Mastercard)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- Par virement bancaire en euros à l’ordre de CAEN ENCHERES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 xml:space="preserve">Banque : Crédit Agricole Mutuel Normandie, 15 esplanade </w:t>
      </w:r>
      <w:proofErr w:type="spellStart"/>
      <w:r>
        <w:rPr>
          <w:rFonts w:ascii="Lato-Regular" w:hAnsi="Lato-Regular" w:cs="Lato-Regular"/>
          <w:color w:val="3D3C3B"/>
          <w:sz w:val="20"/>
          <w:szCs w:val="20"/>
        </w:rPr>
        <w:t>Brillaud</w:t>
      </w:r>
      <w:proofErr w:type="spellEnd"/>
      <w:r>
        <w:rPr>
          <w:rFonts w:ascii="Lato-Regular" w:hAnsi="Lato-Regular" w:cs="Lato-Regular"/>
          <w:color w:val="3D3C3B"/>
          <w:sz w:val="20"/>
          <w:szCs w:val="20"/>
        </w:rPr>
        <w:t xml:space="preserve"> de </w:t>
      </w:r>
      <w:proofErr w:type="spellStart"/>
      <w:r>
        <w:rPr>
          <w:rFonts w:ascii="Lato-Regular" w:hAnsi="Lato-Regular" w:cs="Lato-Regular"/>
          <w:color w:val="3D3C3B"/>
          <w:sz w:val="20"/>
          <w:szCs w:val="20"/>
        </w:rPr>
        <w:t>Laujardière</w:t>
      </w:r>
      <w:proofErr w:type="spellEnd"/>
      <w:r>
        <w:rPr>
          <w:rFonts w:ascii="Lato-Regular" w:hAnsi="Lato-Regular" w:cs="Lato-Regular"/>
          <w:color w:val="3D3C3B"/>
          <w:sz w:val="20"/>
          <w:szCs w:val="20"/>
        </w:rPr>
        <w:t>, 14050 Caen Cedex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RIB : 16606050115200629400116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IBAN : FR7616606050115200629400116 – BIC AGRIFRPP866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En cas de paiement par chèque, le transfert de propriété de l’objet n’aura lieu qu’après encaissement du chèque.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A défaut de paiement, l’objet pourra être remis en adjudication sur folle enchères.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La vente sera conduite en euros.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Le règlement des objets, ainsi que celui des taxes s’y appliquant, sera effectué dans la même monnaie.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A défaut de paiement du montant de l’adjudication et des frais, une mise en demeure sera adressée à l’acqué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reur par lettre </w:t>
      </w:r>
      <w:r>
        <w:rPr>
          <w:rFonts w:ascii="Lato-Regular" w:hAnsi="Lato-Regular" w:cs="Lato-Regular"/>
          <w:color w:val="3D3C3B"/>
          <w:sz w:val="20"/>
          <w:szCs w:val="20"/>
        </w:rPr>
        <w:t>recommandée avec avis de réception aux frais de l’acquéreur.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3D3C3B"/>
          <w:sz w:val="20"/>
          <w:szCs w:val="20"/>
        </w:rPr>
      </w:pPr>
      <w:r>
        <w:rPr>
          <w:rFonts w:ascii="Lato-Black" w:hAnsi="Lato-Black" w:cs="Lato-Black"/>
          <w:color w:val="3D3C3B"/>
          <w:sz w:val="20"/>
          <w:szCs w:val="20"/>
        </w:rPr>
        <w:t>TRANSPORT DES LOTS – EXPORTATION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Dès l’adjudication prononcée, les achats sont sous l’entière responsabilité de l’adjudicataire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, le magasinage et le transport </w:t>
      </w:r>
      <w:r>
        <w:rPr>
          <w:rFonts w:ascii="Lato-Regular" w:hAnsi="Lato-Regular" w:cs="Lato-Regular"/>
          <w:color w:val="3D3C3B"/>
          <w:sz w:val="20"/>
          <w:szCs w:val="20"/>
        </w:rPr>
        <w:t>de l’objet n’engagent pas la responsabilité de la Société de vente.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L’expédition des lots acquis sera effectuée après le règlement de la totalité du bordereau, à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 la demande expresse de </w:t>
      </w:r>
      <w:r>
        <w:rPr>
          <w:rFonts w:ascii="Lato-Regular" w:hAnsi="Lato-Regular" w:cs="Lato-Regular"/>
          <w:color w:val="3D3C3B"/>
          <w:sz w:val="20"/>
          <w:szCs w:val="20"/>
        </w:rPr>
        <w:t>l’acheteur, sous son entière responsabilité, en échange d’une lettre de décharge et à ses frais.</w:t>
      </w:r>
    </w:p>
    <w:p w:rsidR="005C428C" w:rsidRP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D3C3B"/>
          <w:sz w:val="20"/>
          <w:szCs w:val="20"/>
        </w:rPr>
      </w:pP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i/>
          <w:color w:val="3D3C3B"/>
          <w:sz w:val="20"/>
          <w:szCs w:val="20"/>
        </w:rPr>
      </w:pPr>
      <w:r w:rsidRPr="005C428C">
        <w:rPr>
          <w:rFonts w:ascii="Lato-Black" w:hAnsi="Lato-Black" w:cs="Lato-Black"/>
          <w:i/>
          <w:color w:val="3D3C3B"/>
          <w:sz w:val="20"/>
          <w:szCs w:val="20"/>
        </w:rPr>
        <w:t>ORDRES D’ACHAT</w:t>
      </w:r>
    </w:p>
    <w:p w:rsidR="005C428C" w:rsidRP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i/>
          <w:color w:val="3D3C3B"/>
          <w:sz w:val="20"/>
          <w:szCs w:val="20"/>
        </w:rPr>
      </w:pP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La Société de Vente et l’Expert peuvent exécuter tout ordre d’achat sans aucun frais supplémentaire, il convient d’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en faire </w:t>
      </w:r>
      <w:r>
        <w:rPr>
          <w:rFonts w:ascii="Lato-Regular" w:hAnsi="Lato-Regular" w:cs="Lato-Regular"/>
          <w:color w:val="3D3C3B"/>
          <w:sz w:val="20"/>
          <w:szCs w:val="20"/>
        </w:rPr>
        <w:t>la demande par écrit, 24 heures avant la vacation, à l’aide du formulaire inclus dans le présent catalogue, dûment complété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 </w:t>
      </w:r>
      <w:r>
        <w:rPr>
          <w:rFonts w:ascii="Lato-Regular" w:hAnsi="Lato-Regular" w:cs="Lato-Regular"/>
          <w:color w:val="3D3C3B"/>
          <w:sz w:val="20"/>
          <w:szCs w:val="20"/>
        </w:rPr>
        <w:t>et accompagné d’un chèque ou d’un relevé d’identité bancaire.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La Société de Vente agira pour le compte de l’enchérisseur, selon les instructions contenues dans le formulaire d’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ordre </w:t>
      </w:r>
      <w:r>
        <w:rPr>
          <w:rFonts w:ascii="Lato-Regular" w:hAnsi="Lato-Regular" w:cs="Lato-Regular"/>
          <w:color w:val="3D3C3B"/>
          <w:sz w:val="20"/>
          <w:szCs w:val="20"/>
        </w:rPr>
        <w:t>d’achat, ceci afin d’acheter le ou les lots au prix le plus bas possible et ne dépassant, e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n aucun cas, le montant maximum </w:t>
      </w:r>
      <w:r>
        <w:rPr>
          <w:rFonts w:ascii="Lato-Regular" w:hAnsi="Lato-Regular" w:cs="Lato-Regular"/>
          <w:color w:val="3D3C3B"/>
          <w:sz w:val="20"/>
          <w:szCs w:val="20"/>
        </w:rPr>
        <w:t>indiqué par l’enchérisseur.</w:t>
      </w:r>
    </w:p>
    <w:p w:rsid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lastRenderedPageBreak/>
        <w:t xml:space="preserve">Enchères par téléphone : l’acheteur désireux de se faire appeler pendant la vente utilisera le 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formulaire selon les conditions </w:t>
      </w:r>
      <w:r>
        <w:rPr>
          <w:rFonts w:ascii="Lato-Regular" w:hAnsi="Lato-Regular" w:cs="Lato-Regular"/>
          <w:color w:val="3D3C3B"/>
          <w:sz w:val="20"/>
          <w:szCs w:val="20"/>
        </w:rPr>
        <w:t>énoncées ci-dessus.</w:t>
      </w:r>
    </w:p>
    <w:p w:rsidR="00C5033D" w:rsidRPr="005C428C" w:rsidRDefault="005C428C" w:rsidP="005C428C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3D3C3B"/>
          <w:sz w:val="20"/>
          <w:szCs w:val="20"/>
        </w:rPr>
      </w:pPr>
      <w:r>
        <w:rPr>
          <w:rFonts w:ascii="Lato-Regular" w:hAnsi="Lato-Regular" w:cs="Lato-Regular"/>
          <w:color w:val="3D3C3B"/>
          <w:sz w:val="20"/>
          <w:szCs w:val="20"/>
        </w:rPr>
        <w:t>Les ordres d’achat sont une facilité pour les clients. La Société de Vente ne sera pas tenu</w:t>
      </w:r>
      <w:r>
        <w:rPr>
          <w:rFonts w:ascii="Lato-Regular" w:hAnsi="Lato-Regular" w:cs="Lato-Regular"/>
          <w:color w:val="3D3C3B"/>
          <w:sz w:val="20"/>
          <w:szCs w:val="20"/>
        </w:rPr>
        <w:t xml:space="preserve">e responsable pour avoir manqué </w:t>
      </w:r>
      <w:bookmarkStart w:id="0" w:name="_GoBack"/>
      <w:bookmarkEnd w:id="0"/>
      <w:r>
        <w:rPr>
          <w:rFonts w:ascii="Lato-Regular" w:hAnsi="Lato-Regular" w:cs="Lato-Regular"/>
          <w:color w:val="3D3C3B"/>
          <w:sz w:val="20"/>
          <w:szCs w:val="20"/>
        </w:rPr>
        <w:t>d’exécuter un ordre par erreur, ou pour toute autre cause.</w:t>
      </w:r>
    </w:p>
    <w:sectPr w:rsidR="00C5033D" w:rsidRPr="005C428C" w:rsidSect="00C1579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-Black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8C"/>
    <w:rsid w:val="003625BA"/>
    <w:rsid w:val="005C428C"/>
    <w:rsid w:val="00C15796"/>
    <w:rsid w:val="00C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516C"/>
  <w15:chartTrackingRefBased/>
  <w15:docId w15:val="{47D31B02-3D81-45C9-8E0A-9E86B2B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MAININI</dc:creator>
  <cp:keywords/>
  <dc:description/>
  <cp:lastModifiedBy>gabrielle MAININI</cp:lastModifiedBy>
  <cp:revision>1</cp:revision>
  <dcterms:created xsi:type="dcterms:W3CDTF">2017-09-13T09:02:00Z</dcterms:created>
  <dcterms:modified xsi:type="dcterms:W3CDTF">2017-09-13T09:05:00Z</dcterms:modified>
</cp:coreProperties>
</file>